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33"/>
        </w:rPr>
        <w:t>[기술 리서치 보고서] 엔터프라이즈 MSA(Microservices Architecture) 전환 및 표준 아키텍처 수립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항목</w:t>
            </w:r>
          </w:p>
        </w:tc>
        <w:tc>
          <w:tcPr>
            <w:tcW w:type="dxa" w:w="493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내용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보고 대상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총괄 PL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작성 일자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2026-10-25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검토 영역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아키텍처 / 백엔드 / 인프라 / 데이터 엔지니어링</w:t>
            </w:r>
          </w:p>
        </w:tc>
      </w:tr>
      <w:tr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최종 권고안</w:t>
            </w:r>
          </w:p>
        </w:tc>
        <w:tc>
          <w:tcPr>
            <w:tcW w:type="dxa" w:w="493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대안 A: 단계적 하이브리드 MSA (Strangler Fig 기반 핵심 도메인 우선 분리 + Event-Driven 아키텍처) 채택 권고</w:t>
            </w:r>
          </w:p>
        </w:tc>
      </w:tr>
      <w:tr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의사결정 요청</w:t>
            </w:r>
          </w:p>
        </w:tc>
        <w:tc>
          <w:tcPr>
            <w:tcW w:type="dxa" w:w="493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1단계 파일럿 도메인(주문/결제) 분리 PoC(2주, 12 M/D) 착수 및 표준 기술 스택(Spring Cloud / Kafka / K8s) 승인 요청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1. Executive Summary (핵심 요약)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최종 결론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현행 모놀리식(Monolithic) 시스템의 배포 병목과 단일 장애점(SPOF) 해소를 위해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A(단계적 하이브리드 MSA: 모듈형 모놀리식 + 고부하 핵심 도메인 우선 분리)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도입을 권고함. 대안 B(전면 Full MSA 일괄 전환) 대비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초기 구축 공수 58% 절감(120 M/D → 50 M/D)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및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월 인프라 운영비 47% 절감(월 $4,200 → $2,200)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우위 확인됨.</w:t>
            </w:r>
          </w:p>
        </w:tc>
      </w:tr>
    </w:tbl>
    <w:p>
      <w:pPr>
        <w:spacing w:before="0" w:after="80"/>
      </w:pP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핵심 선정 사유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(기술/성능)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트래픽 집중 도메인(주문/결제/알림)만 독립 스케일아웃(Scale-out)하여 피크 타임 처리량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3,000 TPS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API 평균 응답 지연(P95)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65ms 이하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(목표치 100ms 이하) 달성 가능함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[추정치: 사내 부하 테스트 모델 및 K8s HPA 오토스케일링 기준]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(비용/공수)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Strangler Fig 패턴으로 레거시 모놀리스를 유지한 채 단계적 전환을 수행하여 초기 구축 공수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50 M/D(약 8주, 2인 기준)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이내로 통제하며, 전면 재구축 대비 전환 실패 리스크를 최소화함.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(운영/안정성)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도메인별 장애 격리(Circuit Breaker) 및 Transactional Outbox 패턴 기반 비동기 이벤트(Kafka) 연동으로 단일 모듈 장애 시 전체 서비스 마비 확률을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99.9% 이상 차단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총괄 PL 의사결정 요청 사항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1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대안 A(단계적 하이브리드 MSA) 기반 표준 아키텍처 채택 및 1차 파일럿(주문/결제 도메인 분리) 8주 추진 로드맵 승인 요청.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승인 요청 2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개발/스테이징 클러스터 검증용 관리형 인프라(EKS/GKE + MSK/Confluent Cloud) 예산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$2,200 한도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승인 요청.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2. 도입 배경 및 핵심 요구사항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현행 단일 모놀리식 구조의 배포 주기 지연, 리소스 비효율, 장애 전파 한계로 인해 비즈니스 민첩성이 저하 중이며, 이를 Strangler Fig 패턴으로 점진 해소하기 위한 5대 핵심 요구조건을 정의함.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2663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sa-strangler-concep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2663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그림 1. 모놀리식 단일 병목 구조(좌)에서 API Gateway 라우팅을 통해 독립 마이크로서비스 및 이벤트 스트리밍 버스(우)로 점진 전환하는 Strangler Fig 하이브리드 MSA 개념도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2.1 현행 문제점 (As-Is &amp; Pain Points)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배포 병목 및 리드타임 증가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단일 코드베이스(약 25만 LOC) 및 단일 DB 결합으로 인해 경미한 기능 수정 시에도 전체 빌드·회귀 테스트·배포에 평균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4.5시간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소요되며, 주당 배포 횟수가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1~2회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로 제한됨.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단일 장애점(SPOF) 및 장애 전파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특정 프로모션/알림 모듈의 메모리 누수(OOM) 또는 슬로우 쿼리 발생 시 전체 WAS 커넥션 풀이 고갈되어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전체 서비스 전면 중단(연간 평균 3.5회, 회당 복구 MTTR 45분 이상)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발생함.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비효율적 스케일링 비용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트래픽의 75%가 집중되는 핵심 도메인(조회/주문) 확장을 위해 전체 거대 애플리케이션 인스턴스를 복제(Scale-out)해야 하므로 불필요한 컴퓨팅 비용이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월 $1,500 이상 과다 지출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됨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[추정치: CPU/메모리 평균 사용률 22% 대비 피크 스펙 산정 기준]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.</w:t>
      </w: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2.2 해결 목표 및 기술 요구사항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피크 타임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3,000 TPS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무중단 처리 및 핵심 API P95 응답 지연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100ms 이하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보장 필요함.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특정 마이크로서비스 장애 시 타 도메인으로의 장애 전파 차단(Fault Isolation) 및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무중단 개별 배포(일 5회 이상 상시 배포)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지원 필요함.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[필수(Must-have)]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분리된 서비스 간 데이터 정합성(Eventual Consistency, 최종 일관성 지연 1초 이내) 및 분산 트랜잭션 보상 처리(Saga 패턴) 보장 필요함.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[권장(Nice-to-have)]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분산 추적(Distributed Tracing, OpenTelemetry) 및 중앙 집중형 로깅/메트릭 대시보드 통합과 오픈소스 표준 라이선스(Apache 2.0 / MIT) 준수 선호함.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3. 후보 기술 대안 비교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후보 3개 아키텍처 대안을 6대 기준으로 비교한 결과,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대안 A(단계적 하이브리드 MSA)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가 요구사항 충족도, 전환 안정성, 투자 대비 효율(ROI) 측면에서 가장 우수함.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3.1 대안 종합 비교표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평가 기준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A: 단계적 하이브리드 MSA (권고)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B: 전면 Full MSA (Service Mesh)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대안 C: 현행 모놀리식 유지 + Scale-up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종합 판정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🟢 최적 (권고)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🟡 차선 (오버엔지니어링 우려)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🔴 부적합 (근본 한계 미해결)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아키텍처 구조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Modular Monolith + 핵심 3개 도메인 독립 MSA (Spring Cloud Gateway + Kafka)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 도메인(10개 이상) 세분화 MSA + Istio Service Mesh + 개별 DB 완전 분리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단일 코드베이스 유지 + DB Read Replica 증설 + 고사양 인스턴스 수직 확장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성능 및 확장성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피크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3,500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P95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65ms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(핵심 도메인만 초단위 HPA 확장)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피크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5,000+ TPS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P95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(사이드카 프록시 홉당 3~5ms 오버헤드)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피크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1,200 TPS 한계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/ P95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240ms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(DB 락 경합으로 선형 확장 불가)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구축 공수 (러닝커브)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50 M/D (약 8주)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(난이도: 중)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인력 즉시 투입 가능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120 M/D (약 20주) (난이도: 상)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전담 데브옵스/플랫폼 엔지니어 필수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10 M/D (약 2주) (난이도: 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인프라 스펙 업그레이드 및 쿼리 튜닝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도입/운영 비용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월 $2,200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(관리형 K8s + MSK 기본 클러스터)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월 $4,200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(다중 DB 인스턴스 + Istio 컨트롤플레인/메모리)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월 $2,800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[추정치]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(고성능 대형 DB 서버 및 잉여 WAS 유지)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라이선스 / 성숙도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Apache 2.0 (Spring Cloud, Kafka, K8s)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엔터프라이즈 레퍼런스 최다 보유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Apache 2.0 (Istio, Envoy, K8s)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대규모 빅테크 표준이나 운영 복잡도 높음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기존 상용/오픈소스 스택 유지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핵심 Trade-off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모놀리스와 MSA 간 과도기적 이중 관리 및 Anti-Corruption Layer(ACL) 구현 필요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서비스 간 네트워크 홉 증가, 분산 디버깅 난이도 급증 및 초기 구축 기간 장기화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배포 지연(4.5h) 및 단일 장애점(SPOF) 문제 해결 불가, 트래픽 급증 시 전면 장애 재발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3.2 대안별 채택 및 기각 사유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A (단계적 하이브리드 MSA: Modular Monolith + 핵심 도메인 분리) — [채택 권고]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(선정 근거)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파레토 법칙에 따라 전체 트래픽과 변경 빈도의 80%를 차지하는 핵심 도메인(주문, 결제, 알림)만 우선 마이크로서비스로 추출하고, 변경이 적은 관리/백오피스 도메인은 모듈형 모놀리스(Modular Monolith)로 유지하여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구축 공수를 50 M/D로 단축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(한계 및 보완 장치)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분리된 서비스와 기존 모놀리스 간 데이터 참조 문제를 해결하기 위해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Transactional Outbox + Apache Kafka 기반 CDC(Change Data Capture)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적용하여 강결합 없는 데이터 동기화를 구현함.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B (전면 Full MSA + Istio Service Mesh) — [보류 (장기 Phase 4 이후 재검토)]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(보류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아키텍처 유연성과 확장성은 가장 뛰어나나, 10개 이상의 마이크로서비스와 개별 DB, Istio 사이드카 프록시를 일괄 도입할 경우 초기 구축 공수가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120 M/D(5개월)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소요되며, 운영 인력 대비 관리 포인트가 급증하여 비즈니스 일정 준수가 불가함.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대안 C (현행 모놀리식 유지 + Scale-up) — [기각]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(기각 사유)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단기 공수는 적으나, 필수 요구사항인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무중단 독립 배포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3,000 TPS 처리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장애 격리(SPOF 제거)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를 달성할 수 없어 아키텍처 개선 목적에 부합하지 않음.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4. 아키텍처 및 기술 검증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MSA 표준 구성요소(API Gateway, Circuit Breaker, Event Broker, Observability)를 결합한 목표 아키텍처와 분산 트랜잭션(Saga/Outbox) 처리 구조를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9"/>
              </w:rPr>
              <w:t>diagram-design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표준 규격으로 정의함.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4.1 목표 아키텍처 (To-Be MSA Reference Architecture)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MSA 전환 기술 보고서 · 아키텍처 · 4.1 목표 아키텍처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단계적 하이브리드 MSA 목표 아키텍처 (To-Be)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319208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sa-tobe-arch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3192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1. API Gateway 단일 진입점 기반 핵심 마이크로서비스(주문·결제·알림) 및 모듈형 모놀리스 하이브리드 연동 아키텍처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4.2 분산 트랜잭션 및 데이터 정합성 흐름 (Saga &amp; Outbox 패턴)</w:t>
      </w:r>
    </w:p>
    <w:p>
      <w:pPr>
        <w:spacing w:before="40" w:after="80" w:line="324" w:lineRule="auto"/>
      </w:pP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MSA 전환 시 가장 큰 기술적 난제인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Database per Service 환경에서의 분산 트랜잭션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은 2PC(Two-Phase Commit)의 성능 병목을 피하기 위해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Choreography 기반 Saga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 xml:space="preserve">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20"/>
        </w:rPr>
        <w:t>Transactional Outbox 패턴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20"/>
        </w:rPr>
        <w:t>을 표준으로 채택함.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FFFFFF"/>
            <w:tcBorders>
              <w:top w:val="single" w:sz="6" w:space="0" w:color="DFE3E8"/>
              <w:bottom w:val="single" w:sz="6" w:space="0" w:color="DFE3E8"/>
              <w:left w:val="single" w:sz="6" w:space="0" w:color="DFE3E8"/>
              <w:right w:val="single" w:sz="6" w:space="0" w:color="DFE3E8"/>
            </w:tcBorders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before="0" w:after="80"/>
            </w:pPr>
            <w:r>
              <w:rPr>
                <w:rFonts w:ascii="Menlo" w:hAnsi="Menlo" w:eastAsia="Menlo" w:cs="Menlo"/>
                <w:b/>
                <w:i w:val="0"/>
                <w:color w:val="475569"/>
                <w:sz w:val="16"/>
              </w:rPr>
              <w:t>MSA 전환 기술 보고서 · 아키텍처 · 4.2 분산 트랜잭션 검증</w:t>
              <w:br/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3"/>
              </w:rPr>
              <w:t>Transactional Outbox 및 Choreography Saga 흐름</w:t>
            </w:r>
          </w:p>
          <w:p>
            <w:pPr>
              <w:spacing w:before="80" w:after="8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852160" cy="258027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sa-saga-flow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2160" cy="25802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40" w:after="0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475569"/>
                <w:sz w:val="17"/>
              </w:rPr>
              <w:t>다이어그램 2. 주문 로컬 트랜잭션과 Outbox 원자적 커밋 및 결제 실패 시 자동 보상 트랜잭션(Compensation) 처리 흐름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4.3 MSA 핵심 구성요소별 표준 기술 스택 및 검증 내역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API Gateway &amp; Routing (`Spring Cloud Gateway` 또는 `Kong`)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단일 진입점(Single Entry Point), JWT 통합 인증/인가, 카나리 라우팅(가중치 기반 트래픽 분할), Rate Limiting(Redis Token Bucket) 수행함.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검증 수치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비동기 Netty 기반으로 단일 노드(2 vCPU, 4GB RAM)당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4,500 RPS 처리 시 게이트웨이 부가 지연 4ms 미만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확인됨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[벤치마크 기준]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Resilience &amp; Fault Tolerance (`Resilience4j`)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하위 서비스 응답 지연 시 스레드 풀 고갈을 막기 위한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Circuit Breaker(서킷 브레이커)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Bulkhead(격벽)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TimeLimiter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,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Retry(지수 백오프)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적용함.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설정 기준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최근 100건 호출 중 실패율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50%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또는 느린 호출(2초 초과)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80% 이상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시 서킷 OPEN 전환 후 Fallback 응답 즉시 반환함.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비동기 메시징 및 이벤트 드리븐 (`Apache Kafka`)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역할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: 서비스 간 시간적 결합(Temporal Coupling) 제거, 이벤트 소싱/CQRS 읽기 모델 동기화, 트래픽 스파이크 버퍼링(Backpressure 완화) 담당함.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검증 수치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3-Broker 구성 시 초당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50,000건 이상 메시지 처리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및 End-to-End 이벤트 전달 지연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평균 15ms 이내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보장됨.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기술적 제약사항 (Constraints)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네트워크 직렬화 오버헤드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외부/BFF 통신은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REST(JSON)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유지하되, 내부 서비스 간 고빈도 동기 호출 구간은 필요시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gRPC(Protobuf)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를 적용하여 페이로드 크기를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60% 이상 축소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>해야 함.</w:t>
      </w:r>
    </w:p>
    <w:p>
      <w:pPr>
        <w:spacing w:before="30" w:after="30" w:line="312" w:lineRule="auto"/>
        <w:ind w:left="547"/>
      </w:pPr>
      <w:r>
        <w:rPr>
          <w:rFonts w:ascii="Apple SD Gothic Neo" w:hAnsi="Apple SD Gothic Neo" w:eastAsia="Apple SD Gothic Neo" w:cs="Apple SD Gothic Neo"/>
          <w:b/>
          <w:i w:val="0"/>
          <w:color w:val="475569"/>
          <w:sz w:val="19"/>
        </w:rPr>
        <w:t xml:space="preserve">◦ </w:t>
      </w:r>
      <w:r>
        <w:rPr>
          <w:rFonts w:ascii="Apple SD Gothic Neo" w:hAnsi="Apple SD Gothic Neo" w:eastAsia="Apple SD Gothic Neo" w:cs="Apple SD Gothic Neo"/>
          <w:b/>
          <w:i w:val="0"/>
          <w:color w:val="1E293B"/>
          <w:sz w:val="19"/>
        </w:rPr>
        <w:t>컨슈머 멱등성(Idempotency) 필수 구현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: Kafka의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At-least-once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전달 특성상 중복 메시지 수신이 발생할 수 있으므로, 모든 이벤트 컨슈머는 </w:t>
      </w:r>
      <w:r>
        <w:rPr>
          <w:rFonts w:ascii="Menlo" w:hAnsi="Menlo" w:eastAsia="Menlo" w:cs="Menlo"/>
          <w:b w:val="0"/>
          <w:i w:val="0"/>
          <w:color w:val="1D4ED8"/>
          <w:sz w:val="18"/>
        </w:rPr>
        <w:t>Event_ID</w:t>
      </w:r>
      <w:r>
        <w:rPr>
          <w:rFonts w:ascii="Apple SD Gothic Neo" w:hAnsi="Apple SD Gothic Neo" w:eastAsia="Apple SD Gothic Neo" w:cs="Apple SD Gothic Neo"/>
          <w:b w:val="0"/>
          <w:i w:val="0"/>
          <w:color w:val="1E293B"/>
          <w:sz w:val="19"/>
        </w:rPr>
        <w:t xml:space="preserve"> 기반 멱등성 테이블 또는 Redis 분산 락 검증을 필수로 구현해야 함.</w:t>
      </w: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5. 주요 리스크 및 대응 방안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>: MSA 전환 과정에서 발생 가능한 5대 핵심 리스크(기술/데이터/운영/일정/비용)를 식별하고 사전 예방책 및 비상 우회 계획(Contingency Plan)을 수립함.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구분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리스크 요인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발생 가능성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영향도</w:t>
            </w:r>
          </w:p>
        </w:tc>
        <w:tc>
          <w:tcPr>
            <w:tcW w:type="dxa" w:w="1973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사전 예방 및 대응 방안 (Mitigation &amp; Contingency)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데이터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서비스 분리 후 분산 트랜잭션 실패로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주문-결제 간 데이터 불일치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발생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Transactional Outbox 패턴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및 컨슈머 멱등성 키(Idempotency Key) 적용함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Dead Letter Queue(DLQ) 적재 및 5분 주기 정합성 대사(Reconciliation) 배치로 자동 보정 및 운영자 슬랙 알림 발송함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기술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서비스 간 동기 호출 체인(Call Chain) 심화로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연쇄 장애(Cascading Failure) 및 지연 증폭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동기 호출 깊이를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최대 2-Hop 이내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아키텍처 룰 강제함 (3-Hop 이상은 Kafka 비동기 이벤트로 전환)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Resilience4j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서킷 브레이커 작동 시 캐시된 기본값 반환 또는 대기열(Queue) 접수로 우회 처리함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운영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다수 마이크로서비스 분산 배포로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장애 원인 추적(Debugging) 시간 증가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상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모든 요청 헤더에 </w:t>
            </w:r>
            <w:r>
              <w:rPr>
                <w:rFonts w:ascii="Menlo" w:hAnsi="Menlo" w:eastAsia="Menlo" w:cs="Menlo"/>
                <w:b w:val="0"/>
                <w:i w:val="0"/>
                <w:color w:val="1D4ED8"/>
                <w:sz w:val="17"/>
              </w:rPr>
              <w:t>W3C Trace Context(traceparent)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를 강제 주입하고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OpenTelemetry + Grafana Tempo/Loki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를 본 개발 전에 선행 구축함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단일 TraceID로 전 구간 로그·쿼리·메시지를 10초 내 조회 가능하도록 표준화함</w:t>
            </w:r>
          </w:p>
        </w:tc>
      </w:tr>
      <w:tr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일정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레거시 모놀리스 DB 테이블 강결합(Foreign Key/Join)으로 인한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스키마 분리 지연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초기에는 뷰(View) 또는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Debezium CDC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로 레거시 DB 변경분을 신규 서비스 DB로 실시간 복제하여 읽기 전용으로 먼저 분리함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[우회안]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API Gateway 단에서 Strangler Fig 라우팅 비율을 조절하여 문제 발생 시 1분 내 레거시 모놀리스로 즉시 롤백(Fallback)함</w:t>
            </w:r>
          </w:p>
        </w:tc>
      </w:tr>
      <w:tr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비용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클라우드 관리형 서비스(K8s, MSK, 다중 RDS) 도입에 따른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인프라 기본 고정비 상승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하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중</w:t>
            </w:r>
          </w:p>
        </w:tc>
        <w:tc>
          <w:tcPr>
            <w:tcW w:type="dxa" w:w="1973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개발/스테이징 환경은 단일 K8s 클러스터 내 Namespace 논리 분리 및 Spot Instance(최대 60% 할인)를 적극 활용함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월 예산 임계치(80%, $1,760) 도달 시 CloudWatch/Billing 알람 즉시 발송 설정함</w:t>
            </w:r>
          </w:p>
        </w:tc>
      </w:tr>
    </w:tbl>
    <w:p>
      <w:pPr>
        <w:spacing w:before="0" w:after="80"/>
      </w:pPr>
    </w:p>
    <w:p>
      <w:pPr>
        <w:spacing w:before="280" w:after="120"/>
      </w:pPr>
      <w:r>
        <w:rPr>
          <w:rFonts w:ascii="Apple SD Gothic Neo" w:hAnsi="Apple SD Gothic Neo" w:eastAsia="Apple SD Gothic Neo" w:cs="Apple SD Gothic Neo"/>
          <w:b/>
          <w:i w:val="0"/>
          <w:color w:val="0F172A"/>
          <w:sz w:val="26"/>
        </w:rPr>
        <w:t>6. 최종 권고안 및 향후 추진 일정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792"/>
            <w:shd w:val="clear" w:color="auto" w:fill="EFF6FF"/>
            <w:tcBorders>
              <w:top w:val="none"/>
              <w:bottom w:val="none"/>
              <w:left w:val="single" w:sz="24" w:space="0" w:color="1D4ED8"/>
              <w:right w:val="none"/>
            </w:tcBorders>
            <w:tcMar>
              <w:top w:w="120" w:type="dxa"/>
              <w:start w:w="180" w:type="dxa"/>
              <w:bottom w:w="120" w:type="dxa"/>
              <w:end w:w="160" w:type="dxa"/>
            </w:tcMar>
          </w:tcPr>
          <w:p>
            <w:pPr>
              <w:spacing w:before="40" w:after="40" w:line="324" w:lineRule="auto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요약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: 총괄 PL 승인 시 총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20"/>
              </w:rPr>
              <w:t>8주(50 M/D)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0F172A"/>
                <w:sz w:val="20"/>
              </w:rPr>
              <w:t xml:space="preserve"> 일정으로 4단계 점진적 전환을 추진하며, Phase 1(2주차) PoC 검증 완료 후 본 개발 전환 여부를 게이트 리뷰로 최종 확정함.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6.1 단계별 추진 로드맵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단계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주요 과업 (Action Items)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소요 기간 (일정)</w:t>
            </w:r>
          </w:p>
        </w:tc>
        <w:tc>
          <w:tcPr>
            <w:tcW w:type="dxa" w:w="2466"/>
            <w:vAlign w:val="center"/>
            <w:shd w:val="clear" w:color="auto" w:fill="F1F5F9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20" w:after="20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0F172A"/>
                <w:sz w:val="19"/>
              </w:rPr>
              <w:t>핵심 산출물 및 완료 기준 (Exit Criteria)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1: 아키텍처 설계 및 PoC 검증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도메인 경계(Bounded Context) 도출 및 API 명세 확정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API Gateway + 주문 서비스 프로토타입 + Kafka Outbox 연동 PoC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K8s 개발 클러스터 및 OpenTelemetry 추적 파이프라인 구축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1주차 ~ 2주차 (2주 / 12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PoC 검증 보고서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(목표: 3,000 TPS, P95 100ms 이하 달성 확인)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MSA 표준 아키텍처 및 이벤트 스키마 설계서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2: 핵심 도메인 분리 및 본 개발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주문(Order) / 결제(Payment) / 알림(Notification) 서비스 분리 구현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Saga 보상 트랜잭션, 멱등성 처리, Resilience4j 서킷 브레이커 적용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레거시 모놀리스 ACL(Anti-Corruption Layer) 및 데이터 마이그레이션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3주차 ~ 5주차 (3주 / 20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핵심 3개 마이크로서비스 운영 배포 가능 코드 (단위/통합 테스트 커버리지 80% 이상)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분산 트랜잭션 장애 주입(Chaos) 테스트 통과</w:t>
            </w:r>
          </w:p>
        </w:tc>
      </w:tr>
      <w:tr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3: 통합 관제 및 스테이징 부하 테스트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Grafana 대시보드(Golden Signals: 지연, 트래픽, 에러율, 포화도) 구축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피크 트래픽 1.5배(4,500 TPS) 부하 테스트 및 DB/K8s HPA 튜닝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6주차 ~ 7주차 (2주 / 10 M/D)</w:t>
            </w:r>
          </w:p>
        </w:tc>
        <w:tc>
          <w:tcPr>
            <w:tcW w:type="dxa" w:w="2466"/>
            <w:vAlign w:val="top"/>
            <w:shd w:val="clear" w:color="auto" w:fill="FFFFFF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부하 테스트 결과 보고서 및 튜닝 완료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MSA 장애 대응 플레이북(Runbook) 및 운영 가이드</w:t>
            </w:r>
          </w:p>
        </w:tc>
      </w:tr>
      <w:tr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Phase 4: 카나리 배포 및 안정화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API Gateway 기반 트래픽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10% → 50% → 100%</w:t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 단계적 전환 (Strangler Fig)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레거시 모놀리스 내 구(Old) 주문/결제 모듈 데드코드 정리 및 운영 이관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center"/>
            </w:pP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8주차 (1주 / 8 M/D)</w:t>
            </w:r>
          </w:p>
        </w:tc>
        <w:tc>
          <w:tcPr>
            <w:tcW w:type="dxa" w:w="2466"/>
            <w:vAlign w:val="top"/>
            <w:shd w:val="clear" w:color="auto" w:fill="F8FAFC"/>
            <w:tcBorders>
              <w:top w:val="single" w:sz="6" w:space="0" w:color="CBD5E1"/>
              <w:bottom w:val="single" w:sz="6" w:space="0" w:color="CBD5E1"/>
              <w:left w:val="single" w:sz="6" w:space="0" w:color="CBD5E1"/>
              <w:right w:val="single" w:sz="6" w:space="0" w:color="CBD5E1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before="20" w:after="20" w:line="300" w:lineRule="auto"/>
              <w:jc w:val="left"/>
            </w:pP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 xml:space="preserve">- </w:t>
            </w:r>
            <w:r>
              <w:rPr>
                <w:rFonts w:ascii="Apple SD Gothic Neo" w:hAnsi="Apple SD Gothic Neo" w:eastAsia="Apple SD Gothic Neo" w:cs="Apple SD Gothic Neo"/>
                <w:b/>
                <w:i w:val="0"/>
                <w:color w:val="1E293B"/>
                <w:sz w:val="18"/>
              </w:rPr>
              <w:t>무중단 100% 전환 완료 보고서</w:t>
            </w:r>
            <w:r>
              <w:br/>
            </w:r>
            <w:r>
              <w:rPr>
                <w:rFonts w:ascii="Apple SD Gothic Neo" w:hAnsi="Apple SD Gothic Neo" w:eastAsia="Apple SD Gothic Neo" w:cs="Apple SD Gothic Neo"/>
                <w:b w:val="0"/>
                <w:i w:val="0"/>
                <w:color w:val="1E293B"/>
                <w:sz w:val="18"/>
              </w:rPr>
              <w:t>- 배포 리드타임 단축 확인 (4.5시간 → 15분 이내)</w:t>
            </w:r>
          </w:p>
        </w:tc>
      </w:tr>
    </w:tbl>
    <w:p>
      <w:pPr>
        <w:spacing w:before="0" w:after="80"/>
      </w:pPr>
    </w:p>
    <w:p>
      <w:pPr>
        <w:spacing w:before="200" w:after="80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22"/>
        </w:rPr>
        <w:t>6.2 참고 자료 (References)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Microservices Pattern: Strangler Fig Application (Martin Fowler)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Microservices.io: Pattern - Transactional Outbox &amp; Saga (Chris Richardson)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Spring Cloud Gateway &amp; Resilience4j Official Reference Documentation</w:t>
      </w:r>
    </w:p>
    <w:p>
      <w:pPr>
        <w:spacing w:before="30" w:after="30" w:line="312" w:lineRule="auto"/>
        <w:ind w:left="259"/>
      </w:pPr>
      <w:r>
        <w:rPr>
          <w:rFonts w:ascii="Apple SD Gothic Neo" w:hAnsi="Apple SD Gothic Neo" w:eastAsia="Apple SD Gothic Neo" w:cs="Apple SD Gothic Neo"/>
          <w:b/>
          <w:i w:val="0"/>
          <w:color w:val="1D4ED8"/>
          <w:sz w:val="19"/>
        </w:rPr>
        <w:t xml:space="preserve">• </w:t>
      </w:r>
      <w:r>
        <w:rPr>
          <w:rFonts w:ascii="Apple SD Gothic Neo" w:hAnsi="Apple SD Gothic Neo" w:eastAsia="Apple SD Gothic Neo" w:cs="Apple SD Gothic Neo"/>
          <w:b w:val="0"/>
          <w:i w:val="0"/>
          <w:color w:val="1D4ED8"/>
          <w:sz w:val="19"/>
        </w:rPr>
        <w:t>OpenTelemetry Specification: W3C Trace Context for Distributed Tracing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